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36" w:rsidRPr="00772D20" w:rsidRDefault="00A7752F" w:rsidP="00166436">
      <w:pPr>
        <w:pStyle w:val="Titr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166436" w:rsidRPr="00772D20">
        <w:rPr>
          <w:sz w:val="24"/>
          <w:szCs w:val="24"/>
        </w:rPr>
        <w:t xml:space="preserve">Chronique </w:t>
      </w:r>
      <w:r w:rsidR="006950CE" w:rsidRPr="00772D20">
        <w:rPr>
          <w:sz w:val="24"/>
          <w:szCs w:val="24"/>
        </w:rPr>
        <w:t xml:space="preserve"> Open </w:t>
      </w:r>
      <w:r w:rsidR="00C17165">
        <w:rPr>
          <w:sz w:val="24"/>
          <w:szCs w:val="24"/>
        </w:rPr>
        <w:t>Access</w:t>
      </w:r>
      <w:r w:rsidR="00166436" w:rsidRPr="00772D20">
        <w:rPr>
          <w:sz w:val="24"/>
          <w:szCs w:val="24"/>
        </w:rPr>
        <w:t> : connaissez-vous la loi pour une République numérique (article 30)</w:t>
      </w:r>
    </w:p>
    <w:p w:rsidR="00166436" w:rsidRDefault="00166436" w:rsidP="002C7406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2604A4" w:rsidRDefault="00166436" w:rsidP="002C7406">
      <w:pPr>
        <w:spacing w:after="0" w:line="240" w:lineRule="auto"/>
        <w:jc w:val="both"/>
      </w:pPr>
      <w:r>
        <w:rPr>
          <w:rFonts w:eastAsia="Times New Roman" w:cs="Arial"/>
          <w:lang w:eastAsia="fr-FR"/>
        </w:rPr>
        <w:t>L</w:t>
      </w:r>
      <w:r w:rsidR="00CA7CD3" w:rsidRPr="00CA7CD3">
        <w:rPr>
          <w:rFonts w:eastAsia="Times New Roman" w:cs="Arial"/>
          <w:lang w:eastAsia="fr-FR"/>
        </w:rPr>
        <w:t>’article 30</w:t>
      </w:r>
      <w:r w:rsidR="00CA7CD3">
        <w:rPr>
          <w:rFonts w:eastAsia="Times New Roman" w:cs="Arial"/>
          <w:lang w:eastAsia="fr-FR"/>
        </w:rPr>
        <w:t xml:space="preserve"> </w:t>
      </w:r>
      <w:r w:rsidR="00CA7CD3" w:rsidRPr="00CA7CD3">
        <w:rPr>
          <w:rFonts w:eastAsia="Times New Roman" w:cs="Arial"/>
          <w:lang w:eastAsia="fr-FR"/>
        </w:rPr>
        <w:t>de la loi pour une République numérique pose le principe de libre accès aux publications scientifique</w:t>
      </w:r>
      <w:r w:rsidR="000D033C">
        <w:rPr>
          <w:rFonts w:eastAsia="Times New Roman" w:cs="Arial"/>
          <w:lang w:eastAsia="fr-FR"/>
        </w:rPr>
        <w:t>s</w:t>
      </w:r>
      <w:r w:rsidR="00CA7CD3" w:rsidRPr="00CA7CD3">
        <w:rPr>
          <w:rFonts w:eastAsia="Times New Roman" w:cs="Arial"/>
          <w:lang w:eastAsia="fr-FR"/>
        </w:rPr>
        <w:t xml:space="preserve"> en donnant </w:t>
      </w:r>
      <w:r w:rsidR="00300884" w:rsidRPr="00CA7CD3">
        <w:t xml:space="preserve"> un droit d’exploitation secondaire au profit des chercheurs pour favoriser le dépôt des publications en archives ouvertes</w:t>
      </w:r>
      <w:r w:rsidR="00CA7CD3" w:rsidRPr="00CA7CD3">
        <w:t xml:space="preserve">. Il </w:t>
      </w:r>
      <w:r w:rsidR="002604A4" w:rsidRPr="00CA7CD3">
        <w:t>appuie pl</w:t>
      </w:r>
      <w:r w:rsidR="00CA7CD3" w:rsidRPr="00CA7CD3">
        <w:t>us largement le mouvement de l’O</w:t>
      </w:r>
      <w:r w:rsidR="002604A4" w:rsidRPr="00CA7CD3">
        <w:t>pen</w:t>
      </w:r>
      <w:r w:rsidR="00CA7CD3" w:rsidRPr="00CA7CD3">
        <w:t xml:space="preserve"> A</w:t>
      </w:r>
      <w:r w:rsidR="002604A4" w:rsidRPr="00CA7CD3">
        <w:t>ccess.</w:t>
      </w:r>
    </w:p>
    <w:p w:rsidR="007A2F5C" w:rsidRPr="00CA7CD3" w:rsidRDefault="007A2F5C" w:rsidP="002C7406">
      <w:pPr>
        <w:spacing w:after="0" w:line="240" w:lineRule="auto"/>
        <w:jc w:val="both"/>
      </w:pPr>
    </w:p>
    <w:p w:rsidR="00EE62BA" w:rsidRPr="000D033C" w:rsidRDefault="00BE5FFA" w:rsidP="002C740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FF"/>
          <w:u w:val="single"/>
          <w:lang w:eastAsia="fr-FR"/>
        </w:rPr>
      </w:pPr>
      <w:r w:rsidRPr="000D033C">
        <w:t xml:space="preserve">Que dit </w:t>
      </w:r>
      <w:r w:rsidR="000D033C">
        <w:rPr>
          <w:rFonts w:eastAsia="Times New Roman" w:cs="Times New Roman"/>
          <w:lang w:eastAsia="fr-FR"/>
        </w:rPr>
        <w:t>l</w:t>
      </w:r>
      <w:r w:rsidR="00EE62BA" w:rsidRPr="000D033C">
        <w:rPr>
          <w:rFonts w:eastAsia="Times New Roman" w:cs="Times New Roman"/>
          <w:lang w:eastAsia="fr-FR"/>
        </w:rPr>
        <w:t>’</w:t>
      </w:r>
      <w:hyperlink r:id="rId8" w:tgtFrame="_blank" w:tooltip="Consulter l'article" w:history="1">
        <w:r w:rsidR="00EE62BA" w:rsidRPr="000D033C">
          <w:rPr>
            <w:rFonts w:eastAsia="Times New Roman" w:cs="Times New Roman"/>
            <w:b/>
            <w:color w:val="0000FF"/>
            <w:u w:val="single"/>
            <w:lang w:eastAsia="fr-FR"/>
          </w:rPr>
          <w:t>article 30 de la loi pour une République numérique d</w:t>
        </w:r>
        <w:r w:rsidR="006A1676" w:rsidRPr="000D033C">
          <w:rPr>
            <w:rFonts w:eastAsia="Times New Roman" w:cs="Times New Roman"/>
            <w:b/>
            <w:color w:val="0000FF"/>
            <w:u w:val="single"/>
            <w:lang w:eastAsia="fr-FR"/>
          </w:rPr>
          <w:t>u 7</w:t>
        </w:r>
        <w:r w:rsidR="00EE62BA" w:rsidRPr="000D033C">
          <w:rPr>
            <w:rFonts w:eastAsia="Times New Roman" w:cs="Times New Roman"/>
            <w:b/>
            <w:color w:val="0000FF"/>
            <w:u w:val="single"/>
            <w:lang w:eastAsia="fr-FR"/>
          </w:rPr>
          <w:t>octobre 2016</w:t>
        </w:r>
      </w:hyperlink>
      <w:r w:rsidR="000D033C">
        <w:rPr>
          <w:rFonts w:eastAsia="Times New Roman" w:cs="Times New Roman"/>
          <w:b/>
          <w:color w:val="0000FF"/>
          <w:u w:val="single"/>
          <w:lang w:eastAsia="fr-FR"/>
        </w:rPr>
        <w:t> ?</w:t>
      </w:r>
    </w:p>
    <w:p w:rsidR="00BE5FFA" w:rsidRDefault="00EE62BA" w:rsidP="002C7406">
      <w:pPr>
        <w:spacing w:before="100" w:beforeAutospacing="1" w:after="100" w:afterAutospacing="1" w:line="240" w:lineRule="auto"/>
        <w:jc w:val="both"/>
      </w:pPr>
      <w:r>
        <w:t>« </w:t>
      </w:r>
      <w:r w:rsidR="00BE5FFA">
        <w:t xml:space="preserve">Lorsqu’un écrit scientifique issu d’une activité de </w:t>
      </w:r>
      <w:r w:rsidR="00BE5FFA" w:rsidRPr="00BE5FFA">
        <w:rPr>
          <w:b/>
        </w:rPr>
        <w:t>recherche financée au moins pour moitié</w:t>
      </w:r>
      <w:r w:rsidR="00BE5FFA">
        <w:t xml:space="preserve"> par des dotations de l’État, des collectivités territoriales ou des établissements publics, par des subventions d’agences de financement nationales ou par des fonds de l’Union européenne est </w:t>
      </w:r>
      <w:r w:rsidR="00BE5FFA" w:rsidRPr="00BE5FFA">
        <w:rPr>
          <w:b/>
        </w:rPr>
        <w:t>publié dans un périodique paraissant au moins une fois par an</w:t>
      </w:r>
      <w:r w:rsidR="00BE5FFA">
        <w:t xml:space="preserve">, son auteur dispose, même après avoir accordé des droits exclusifs à un éditeur, du </w:t>
      </w:r>
      <w:r w:rsidR="00BE5FFA" w:rsidRPr="00BE5FFA">
        <w:rPr>
          <w:b/>
        </w:rPr>
        <w:t>droit de mettre à disposition</w:t>
      </w:r>
      <w:r w:rsidR="00BE5FFA">
        <w:t xml:space="preserve"> gratuitement dans un format ouvert, par voie numérique, sous réserve de l’accord des éventuels coauteurs, la </w:t>
      </w:r>
      <w:r w:rsidR="00BE5FFA" w:rsidRPr="00BE5FFA">
        <w:rPr>
          <w:b/>
        </w:rPr>
        <w:t>version finale de son manuscrit acceptée pour publication</w:t>
      </w:r>
      <w:r w:rsidR="00BE5FFA">
        <w:t xml:space="preserve">, dès lors que l’éditeur met lui-même celle-ci gratuitement à disposition par voie numérique ou, à défaut, à l’expiration d’un délai courant à compter de la date de la première publication. Ce délai est au maximum de </w:t>
      </w:r>
      <w:r w:rsidR="00BE5FFA" w:rsidRPr="00BE5FFA">
        <w:rPr>
          <w:b/>
        </w:rPr>
        <w:t>six mois</w:t>
      </w:r>
      <w:r w:rsidR="00BE5FFA">
        <w:t xml:space="preserve"> pour une publication dans le domaine des sciences, de la technique et de la médecine et de </w:t>
      </w:r>
      <w:r w:rsidR="00BE5FFA" w:rsidRPr="00BE5FFA">
        <w:rPr>
          <w:b/>
        </w:rPr>
        <w:t>douze mois</w:t>
      </w:r>
      <w:r w:rsidR="00BE5FFA">
        <w:t xml:space="preserve"> dans celui des sciences humaines et sociales</w:t>
      </w:r>
      <w:r>
        <w:t>….. »</w:t>
      </w:r>
    </w:p>
    <w:p w:rsidR="00D725FE" w:rsidRPr="000D033C" w:rsidRDefault="00D725FE" w:rsidP="00EA7324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0D033C">
        <w:rPr>
          <w:b/>
          <w:sz w:val="24"/>
          <w:szCs w:val="24"/>
        </w:rPr>
        <w:t>A savoir</w:t>
      </w:r>
    </w:p>
    <w:p w:rsidR="00EA7324" w:rsidRDefault="00556EEA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La loi s’applique </w:t>
      </w:r>
      <w:r w:rsidRPr="000D033C">
        <w:rPr>
          <w:b/>
        </w:rPr>
        <w:t xml:space="preserve">à partir du </w:t>
      </w:r>
      <w:r w:rsidR="002604A4" w:rsidRPr="000D033C">
        <w:rPr>
          <w:b/>
        </w:rPr>
        <w:t>8</w:t>
      </w:r>
      <w:r w:rsidR="00D725FE" w:rsidRPr="000D033C">
        <w:rPr>
          <w:b/>
        </w:rPr>
        <w:t xml:space="preserve"> octobre 2016</w:t>
      </w:r>
      <w:r w:rsidR="002F09C1">
        <w:t>.</w:t>
      </w:r>
      <w:r w:rsidR="00287DDE">
        <w:t xml:space="preserve"> </w:t>
      </w:r>
      <w:r w:rsidR="0080467D">
        <w:t>Elle ne  précise pas si les publications antérieures sont concernées mais</w:t>
      </w:r>
      <w:r w:rsidR="00287DDE">
        <w:t xml:space="preserve"> le dépôt d’articles en libre accès est encouragé en respectant la politique des éditeurs</w:t>
      </w:r>
      <w:r w:rsidR="0080467D">
        <w:t>.</w:t>
      </w:r>
    </w:p>
    <w:p w:rsidR="006A1676" w:rsidRDefault="006A1676" w:rsidP="003B2594">
      <w:pPr>
        <w:pStyle w:val="Paragraphedeliste"/>
        <w:spacing w:before="100" w:beforeAutospacing="1" w:after="100" w:afterAutospacing="1" w:line="240" w:lineRule="auto"/>
        <w:jc w:val="both"/>
      </w:pPr>
    </w:p>
    <w:p w:rsidR="00D725FE" w:rsidRDefault="00556EEA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La date de </w:t>
      </w:r>
      <w:r w:rsidR="00D725FE" w:rsidRPr="000D033C">
        <w:rPr>
          <w:b/>
        </w:rPr>
        <w:t>fin d’embargo</w:t>
      </w:r>
      <w:r w:rsidR="00D725FE">
        <w:t xml:space="preserve"> </w:t>
      </w:r>
      <w:r w:rsidR="006A1676">
        <w:t>débute à la 1</w:t>
      </w:r>
      <w:r w:rsidR="006A1676" w:rsidRPr="006A1676">
        <w:rPr>
          <w:vertAlign w:val="superscript"/>
        </w:rPr>
        <w:t>ère</w:t>
      </w:r>
      <w:r w:rsidR="00D725FE">
        <w:t xml:space="preserve"> diffusion en ligne (souvent avant la date de diffusion du numéro de la revue).</w:t>
      </w:r>
      <w:r w:rsidR="00F22CA0">
        <w:t xml:space="preserve"> </w:t>
      </w:r>
      <w:r w:rsidR="006A1676">
        <w:t xml:space="preserve">Dans le cas où le contrat signé </w:t>
      </w:r>
      <w:r w:rsidR="00F22CA0" w:rsidRPr="00E75BD9">
        <w:rPr>
          <w:rStyle w:val="lev"/>
          <w:b w:val="0"/>
        </w:rPr>
        <w:t xml:space="preserve">avec l’éditeur </w:t>
      </w:r>
      <w:r w:rsidR="006A1676">
        <w:rPr>
          <w:rStyle w:val="lev"/>
          <w:b w:val="0"/>
        </w:rPr>
        <w:t>stipule des délais plus longs c’est la loi qui s’applique</w:t>
      </w:r>
      <w:r w:rsidR="006A1676" w:rsidRPr="006A1676">
        <w:rPr>
          <w:rStyle w:val="lev"/>
          <w:b w:val="0"/>
        </w:rPr>
        <w:t>. (</w:t>
      </w:r>
      <w:r w:rsidR="00F22CA0" w:rsidRPr="000D033C">
        <w:rPr>
          <w:rFonts w:eastAsia="Times New Roman" w:cs="Times New Roman"/>
          <w:b/>
          <w:lang w:eastAsia="fr-FR"/>
        </w:rPr>
        <w:t xml:space="preserve">6 mois </w:t>
      </w:r>
      <w:r w:rsidR="00EE62BA" w:rsidRPr="000D033C">
        <w:rPr>
          <w:rFonts w:eastAsia="Times New Roman" w:cs="Times New Roman"/>
          <w:b/>
          <w:lang w:eastAsia="fr-FR"/>
        </w:rPr>
        <w:t xml:space="preserve">pour les STM et </w:t>
      </w:r>
      <w:r w:rsidR="00F22CA0" w:rsidRPr="000D033C">
        <w:rPr>
          <w:rFonts w:eastAsia="Times New Roman" w:cs="Times New Roman"/>
          <w:b/>
          <w:lang w:eastAsia="fr-FR"/>
        </w:rPr>
        <w:t>12 mois pour les SHS</w:t>
      </w:r>
      <w:r w:rsidR="006A1676" w:rsidRPr="006A1676">
        <w:rPr>
          <w:rFonts w:eastAsia="Times New Roman" w:cs="Times New Roman"/>
          <w:lang w:eastAsia="fr-FR"/>
        </w:rPr>
        <w:t>)</w:t>
      </w:r>
      <w:r w:rsidR="00F22CA0" w:rsidRPr="006A1676">
        <w:t>.</w:t>
      </w:r>
    </w:p>
    <w:p w:rsidR="00CA7CD3" w:rsidRDefault="00CA7CD3" w:rsidP="003B2594">
      <w:pPr>
        <w:pStyle w:val="Paragraphedeliste"/>
        <w:jc w:val="both"/>
      </w:pPr>
    </w:p>
    <w:p w:rsidR="00CA7CD3" w:rsidRDefault="00CA7CD3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Un article publié en </w:t>
      </w:r>
      <w:r w:rsidRPr="000D033C">
        <w:rPr>
          <w:b/>
        </w:rPr>
        <w:t>Open Access</w:t>
      </w:r>
      <w:r>
        <w:t xml:space="preserve"> par un éditeur peut être </w:t>
      </w:r>
      <w:r w:rsidR="0080467D" w:rsidRPr="000D033C">
        <w:rPr>
          <w:b/>
        </w:rPr>
        <w:t>déposé</w:t>
      </w:r>
      <w:r w:rsidRPr="000D033C">
        <w:rPr>
          <w:b/>
        </w:rPr>
        <w:t xml:space="preserve"> immédiatement dans une archive ouverte</w:t>
      </w:r>
      <w:r w:rsidR="007A2F5C">
        <w:t>.</w:t>
      </w:r>
    </w:p>
    <w:p w:rsidR="006A1676" w:rsidRDefault="006A1676" w:rsidP="003B2594">
      <w:pPr>
        <w:pStyle w:val="Paragraphedeliste"/>
        <w:jc w:val="both"/>
      </w:pPr>
    </w:p>
    <w:p w:rsidR="00D725FE" w:rsidRDefault="00D725FE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0D033C">
        <w:rPr>
          <w:b/>
        </w:rPr>
        <w:t>Tous les écrits scientifique</w:t>
      </w:r>
      <w:r w:rsidR="00021AA8" w:rsidRPr="000D033C">
        <w:rPr>
          <w:b/>
        </w:rPr>
        <w:t xml:space="preserve">s </w:t>
      </w:r>
      <w:r w:rsidRPr="000D033C">
        <w:rPr>
          <w:b/>
        </w:rPr>
        <w:t>sont concernés</w:t>
      </w:r>
      <w:r>
        <w:t xml:space="preserve"> (articles, recensions, communications, compte rendus, interventions, commentaires)</w:t>
      </w:r>
      <w:r w:rsidR="006A1676">
        <w:t xml:space="preserve"> dès qu’ils</w:t>
      </w:r>
      <w:r>
        <w:t xml:space="preserve"> sont publiés dans une revue ou un journal scientifique publié au moins une fois par an.</w:t>
      </w:r>
    </w:p>
    <w:p w:rsidR="006A1676" w:rsidRDefault="006A1676" w:rsidP="003B2594">
      <w:pPr>
        <w:pStyle w:val="Paragraphedeliste"/>
        <w:jc w:val="both"/>
      </w:pPr>
    </w:p>
    <w:p w:rsidR="0080467D" w:rsidRDefault="00021AA8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Sont </w:t>
      </w:r>
      <w:r w:rsidRPr="000D033C">
        <w:rPr>
          <w:b/>
        </w:rPr>
        <w:t>exclus de la loi</w:t>
      </w:r>
      <w:r w:rsidR="00D725FE" w:rsidRPr="000D033C">
        <w:rPr>
          <w:b/>
        </w:rPr>
        <w:t xml:space="preserve">, les articles </w:t>
      </w:r>
      <w:r w:rsidR="003B2594" w:rsidRPr="000D033C">
        <w:rPr>
          <w:b/>
        </w:rPr>
        <w:t>« non scientifiques »</w:t>
      </w:r>
      <w:r w:rsidR="003B2594">
        <w:t xml:space="preserve"> </w:t>
      </w:r>
      <w:r w:rsidR="00D725FE">
        <w:t xml:space="preserve">publiés dans la presse </w:t>
      </w:r>
      <w:r w:rsidR="002F09C1">
        <w:t>généraliste (</w:t>
      </w:r>
      <w:r w:rsidR="00D725FE">
        <w:t>quotidien</w:t>
      </w:r>
      <w:r w:rsidR="006A1676">
        <w:t xml:space="preserve">, </w:t>
      </w:r>
      <w:r w:rsidR="00D725FE">
        <w:t xml:space="preserve">hebdo national, médias en ligne) ou dans une revue professionnelle </w:t>
      </w:r>
      <w:r w:rsidR="00556EEA">
        <w:t xml:space="preserve"> ainsi que les ouvrages ou chapitres d’ouvrages</w:t>
      </w:r>
      <w:r w:rsidR="000D033C">
        <w:t>.</w:t>
      </w:r>
    </w:p>
    <w:p w:rsidR="0080467D" w:rsidRDefault="0080467D" w:rsidP="003B2594">
      <w:pPr>
        <w:pStyle w:val="Paragraphedeliste"/>
        <w:spacing w:before="100" w:beforeAutospacing="1" w:after="100" w:afterAutospacing="1" w:line="240" w:lineRule="auto"/>
        <w:jc w:val="both"/>
      </w:pPr>
    </w:p>
    <w:p w:rsidR="0080467D" w:rsidRPr="00E75BD9" w:rsidRDefault="0080467D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Les maisons d’éditions étrangères sont concernées si les conditions de la loi sont respectées, en particulier le </w:t>
      </w:r>
      <w:r w:rsidRPr="000D033C">
        <w:rPr>
          <w:b/>
        </w:rPr>
        <w:t>financement de l’activité de recherche sur fonds publics.</w:t>
      </w:r>
    </w:p>
    <w:p w:rsidR="006A1676" w:rsidRDefault="006A1676" w:rsidP="003B2594">
      <w:pPr>
        <w:pStyle w:val="Paragraphedeliste"/>
        <w:spacing w:before="100" w:beforeAutospacing="1" w:after="100" w:afterAutospacing="1" w:line="240" w:lineRule="auto"/>
        <w:jc w:val="both"/>
      </w:pPr>
    </w:p>
    <w:p w:rsidR="00EA7324" w:rsidRDefault="00556EEA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La loi autorise le dé</w:t>
      </w:r>
      <w:r w:rsidR="006A1676">
        <w:t>pôt en libre a</w:t>
      </w:r>
      <w:r w:rsidR="003C7BDC">
        <w:t xml:space="preserve">ccès </w:t>
      </w:r>
      <w:r w:rsidR="006A1676">
        <w:t xml:space="preserve">de la « </w:t>
      </w:r>
      <w:r w:rsidRPr="000D033C">
        <w:rPr>
          <w:b/>
        </w:rPr>
        <w:t>version finale de son manuscri</w:t>
      </w:r>
      <w:r w:rsidR="003B2594" w:rsidRPr="000D033C">
        <w:rPr>
          <w:b/>
        </w:rPr>
        <w:t>t acceptée pour publication</w:t>
      </w:r>
      <w:r w:rsidR="003B2594">
        <w:t xml:space="preserve">», </w:t>
      </w:r>
      <w:r>
        <w:t>soit la version validée par l’auteur avant la mise en forme de l’éditeur  (possible de mettre la version de l’éditeur si celui-ci l’autorise)</w:t>
      </w:r>
      <w:r w:rsidR="002F09C1">
        <w:t>.</w:t>
      </w:r>
    </w:p>
    <w:p w:rsidR="00D4487A" w:rsidRDefault="00D4487A" w:rsidP="003B2594">
      <w:pPr>
        <w:pStyle w:val="Paragraphedeliste"/>
        <w:spacing w:before="100" w:beforeAutospacing="1" w:after="100" w:afterAutospacing="1" w:line="240" w:lineRule="auto"/>
        <w:jc w:val="both"/>
      </w:pPr>
    </w:p>
    <w:p w:rsidR="00556EEA" w:rsidRDefault="00556EEA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La loi s’applique pour les auteurs, quel que soit leur statut (chercheur, ingénieur, doctorant,… relevant d’un statut publi</w:t>
      </w:r>
      <w:r w:rsidR="00D4487A">
        <w:t>c ou privé) et leur nationalité dès lors que leur publication est issue</w:t>
      </w:r>
      <w:r>
        <w:t xml:space="preserve"> d’une activité</w:t>
      </w:r>
      <w:r w:rsidR="00D4487A">
        <w:t xml:space="preserve"> </w:t>
      </w:r>
      <w:r>
        <w:t>de recherche financée</w:t>
      </w:r>
      <w:r w:rsidR="00D4487A">
        <w:t xml:space="preserve"> à 50%</w:t>
      </w:r>
      <w:r>
        <w:t xml:space="preserve"> par des dotations de l’État</w:t>
      </w:r>
      <w:r w:rsidR="00BE5FFA">
        <w:t xml:space="preserve"> </w:t>
      </w:r>
      <w:r>
        <w:t>français, des collectivités territoriales ou des établissements</w:t>
      </w:r>
      <w:r w:rsidR="002F09C1">
        <w:t>.</w:t>
      </w:r>
      <w:r w:rsidR="002825D2">
        <w:t xml:space="preserve"> </w:t>
      </w:r>
      <w:r w:rsidR="003B2594">
        <w:t xml:space="preserve">Le </w:t>
      </w:r>
      <w:r w:rsidR="002F09C1">
        <w:t>financement</w:t>
      </w:r>
      <w:r w:rsidR="003B2594">
        <w:t xml:space="preserve"> de la recherche</w:t>
      </w:r>
      <w:r w:rsidR="002F09C1">
        <w:t xml:space="preserve"> inclut</w:t>
      </w:r>
      <w:r w:rsidR="0080467D">
        <w:t xml:space="preserve"> </w:t>
      </w:r>
      <w:r w:rsidR="002F09C1">
        <w:t>tous les coûts de la recherche</w:t>
      </w:r>
      <w:r w:rsidR="002825D2">
        <w:t xml:space="preserve">, salaires, </w:t>
      </w:r>
      <w:r w:rsidR="002F09C1">
        <w:t>hébergement</w:t>
      </w:r>
      <w:r w:rsidR="002825D2">
        <w:t>, etc.</w:t>
      </w:r>
    </w:p>
    <w:p w:rsidR="00D4487A" w:rsidRDefault="00D4487A" w:rsidP="003B2594">
      <w:pPr>
        <w:pStyle w:val="Paragraphedeliste"/>
        <w:jc w:val="both"/>
      </w:pPr>
    </w:p>
    <w:p w:rsidR="00556EEA" w:rsidRPr="002F09C1" w:rsidRDefault="00556EEA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La loi prévoit “la mise à disposition gratuitement dans un form</w:t>
      </w:r>
      <w:r w:rsidR="003C7BDC">
        <w:t xml:space="preserve">at ouvert, par voie numérique” </w:t>
      </w:r>
      <w:r>
        <w:t>mais n’impose pas de lieu de dépôt</w:t>
      </w:r>
      <w:r w:rsidR="002825D2">
        <w:t xml:space="preserve"> bien que </w:t>
      </w:r>
      <w:hyperlink r:id="rId9" w:history="1">
        <w:r w:rsidR="002825D2" w:rsidRPr="000D033C">
          <w:rPr>
            <w:rStyle w:val="Lienhypertexte"/>
            <w:b/>
          </w:rPr>
          <w:t>Hal</w:t>
        </w:r>
      </w:hyperlink>
      <w:r w:rsidR="00F22CA0">
        <w:t xml:space="preserve"> </w:t>
      </w:r>
      <w:r w:rsidR="002825D2">
        <w:t>soit</w:t>
      </w:r>
      <w:r w:rsidR="00F22CA0">
        <w:t xml:space="preserve"> </w:t>
      </w:r>
      <w:r w:rsidR="00F22CA0" w:rsidRPr="000D033C">
        <w:rPr>
          <w:b/>
        </w:rPr>
        <w:t>fortement recommandé</w:t>
      </w:r>
      <w:r w:rsidR="003C7BDC">
        <w:rPr>
          <w:b/>
        </w:rPr>
        <w:t>.</w:t>
      </w:r>
    </w:p>
    <w:p w:rsidR="002F09C1" w:rsidRPr="002F09C1" w:rsidRDefault="002F09C1" w:rsidP="003B2594">
      <w:pPr>
        <w:pStyle w:val="Paragraphedeliste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09C1" w:rsidRPr="0080467D" w:rsidRDefault="002F09C1" w:rsidP="003B259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033C">
        <w:rPr>
          <w:rStyle w:val="lev"/>
        </w:rPr>
        <w:t>L’accord des co-auteurs</w:t>
      </w:r>
      <w:r>
        <w:rPr>
          <w:rStyle w:val="lev"/>
        </w:rPr>
        <w:t xml:space="preserve"> </w:t>
      </w:r>
      <w:r>
        <w:t>est obligatoire</w:t>
      </w:r>
      <w:r w:rsidR="003C7BDC">
        <w:t>.</w:t>
      </w:r>
    </w:p>
    <w:p w:rsidR="0080467D" w:rsidRDefault="0080467D" w:rsidP="0080467D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71F5" w:rsidRDefault="003B71F5" w:rsidP="0080467D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D20" w:rsidRDefault="00772D20" w:rsidP="0080467D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71F5" w:rsidRPr="000D033C" w:rsidRDefault="0074103E" w:rsidP="0074103E">
      <w:pPr>
        <w:rPr>
          <w:rFonts w:eastAsia="Times New Roman" w:cs="Times New Roman"/>
          <w:b/>
          <w:sz w:val="24"/>
          <w:szCs w:val="24"/>
          <w:lang w:eastAsia="fr-FR"/>
        </w:rPr>
      </w:pPr>
      <w:r w:rsidRPr="000D033C">
        <w:rPr>
          <w:rFonts w:eastAsia="Times New Roman" w:cs="Times New Roman"/>
          <w:b/>
          <w:sz w:val="24"/>
          <w:szCs w:val="24"/>
          <w:lang w:eastAsia="fr-FR"/>
        </w:rPr>
        <w:t>Des</w:t>
      </w:r>
      <w:r w:rsidR="00355BF3" w:rsidRPr="000D033C">
        <w:rPr>
          <w:rFonts w:eastAsia="Times New Roman" w:cs="Times New Roman"/>
          <w:b/>
          <w:sz w:val="24"/>
          <w:szCs w:val="24"/>
          <w:lang w:eastAsia="fr-FR"/>
        </w:rPr>
        <w:t xml:space="preserve"> outils</w:t>
      </w:r>
      <w:r w:rsidRPr="000D033C">
        <w:rPr>
          <w:rFonts w:eastAsia="Times New Roman" w:cs="Times New Roman"/>
          <w:b/>
          <w:sz w:val="24"/>
          <w:szCs w:val="24"/>
          <w:lang w:eastAsia="fr-FR"/>
        </w:rPr>
        <w:t xml:space="preserve"> pour appliquer la loi</w:t>
      </w:r>
    </w:p>
    <w:p w:rsidR="00355BF3" w:rsidRPr="00D75A72" w:rsidRDefault="0074103E" w:rsidP="00D75A7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Testez votre publication. </w:t>
      </w:r>
      <w:r w:rsidR="00355BF3">
        <w:t xml:space="preserve">L’outil </w:t>
      </w:r>
      <w:hyperlink r:id="rId10" w:tgtFrame="_blank" w:tooltip="Accéder à la ressource" w:history="1">
        <w:proofErr w:type="spellStart"/>
        <w:r w:rsidR="00355BF3">
          <w:rPr>
            <w:rStyle w:val="Lienhypertexte"/>
          </w:rPr>
          <w:t>Willow</w:t>
        </w:r>
        <w:proofErr w:type="spellEnd"/>
      </w:hyperlink>
      <w:r w:rsidR="00355BF3">
        <w:t xml:space="preserve"> s’appuie sur la loi pour une république numérique. Il permet de connaître les droits et les obligations des chercheurs de diffuser leu</w:t>
      </w:r>
      <w:r>
        <w:t>rs publications en libre accès.</w:t>
      </w:r>
    </w:p>
    <w:p w:rsidR="002F09C1" w:rsidRDefault="00355BF3" w:rsidP="00D75A72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</w:pPr>
      <w:r>
        <w:t>Pour connaître</w:t>
      </w:r>
      <w:r w:rsidR="0074103E">
        <w:t xml:space="preserve"> quelle version d’un article peut être déposé</w:t>
      </w:r>
      <w:r w:rsidR="00DF170C">
        <w:t>e</w:t>
      </w:r>
      <w:r w:rsidR="0074103E">
        <w:t xml:space="preserve"> en archives ouvertes, consultez </w:t>
      </w:r>
      <w:r>
        <w:t xml:space="preserve"> les politiques des éditeurs</w:t>
      </w:r>
      <w:r w:rsidR="0074103E">
        <w:t> </w:t>
      </w:r>
      <w:r w:rsidR="00D75A72">
        <w:t xml:space="preserve">: </w:t>
      </w:r>
      <w:hyperlink r:id="rId11" w:tgtFrame="_blank" w:tooltip="Accéder à la ressource" w:history="1">
        <w:r>
          <w:rPr>
            <w:rStyle w:val="Lienhypertexte"/>
          </w:rPr>
          <w:t>Sherpa/Romeo</w:t>
        </w:r>
      </w:hyperlink>
      <w:r w:rsidR="0074103E">
        <w:t xml:space="preserve"> (revues internationales) ou</w:t>
      </w:r>
      <w:r>
        <w:t xml:space="preserve"> </w:t>
      </w:r>
      <w:hyperlink r:id="rId12" w:tgtFrame="_blank" w:tooltip="Accéder à la ressource" w:history="1">
        <w:r>
          <w:rPr>
            <w:rStyle w:val="Lienhypertexte"/>
          </w:rPr>
          <w:t xml:space="preserve">Héloïse </w:t>
        </w:r>
      </w:hyperlink>
      <w:r>
        <w:t>(revues francophones en SHS)</w:t>
      </w:r>
    </w:p>
    <w:p w:rsidR="0074103E" w:rsidRDefault="0074103E" w:rsidP="0074103E">
      <w:pPr>
        <w:spacing w:before="100" w:beforeAutospacing="1" w:after="100" w:afterAutospacing="1" w:line="240" w:lineRule="auto"/>
      </w:pPr>
    </w:p>
    <w:p w:rsidR="00772D20" w:rsidRDefault="00772D20" w:rsidP="0074103E">
      <w:pPr>
        <w:spacing w:before="100" w:beforeAutospacing="1" w:after="100" w:afterAutospacing="1" w:line="240" w:lineRule="auto"/>
      </w:pPr>
    </w:p>
    <w:tbl>
      <w:tblPr>
        <w:tblStyle w:val="Grilledutableau"/>
        <w:tblW w:w="8886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8886"/>
      </w:tblGrid>
      <w:tr w:rsidR="00F54A88" w:rsidTr="00772D20">
        <w:trPr>
          <w:trHeight w:val="3502"/>
          <w:jc w:val="center"/>
        </w:trPr>
        <w:tc>
          <w:tcPr>
            <w:tcW w:w="8886" w:type="dxa"/>
          </w:tcPr>
          <w:p w:rsidR="00F54A88" w:rsidRPr="000D033C" w:rsidRDefault="00F54A88" w:rsidP="00F623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0D033C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Sources</w:t>
            </w:r>
          </w:p>
          <w:p w:rsidR="00F54A88" w:rsidRPr="00021AA8" w:rsidRDefault="00B10EB6" w:rsidP="00F54A88">
            <w:pPr>
              <w:pStyle w:val="Paragraphedeliste"/>
              <w:numPr>
                <w:ilvl w:val="0"/>
                <w:numId w:val="5"/>
              </w:numPr>
            </w:pPr>
            <w:hyperlink r:id="rId13" w:tgtFrame="_blank" w:tooltip="Accéder à la ressource" w:history="1">
              <w:r w:rsidR="00F54A88" w:rsidRPr="00021AA8">
                <w:rPr>
                  <w:rFonts w:eastAsia="Times New Roman" w:cs="Times New Roman"/>
                  <w:color w:val="0000FF"/>
                  <w:u w:val="single"/>
                  <w:lang w:eastAsia="fr-FR"/>
                </w:rPr>
                <w:t>Je publie, quels sont mes droits ?</w:t>
              </w:r>
            </w:hyperlink>
            <w:r w:rsidR="00F54A88" w:rsidRPr="00021AA8">
              <w:rPr>
                <w:rFonts w:eastAsia="Times New Roman" w:cs="Times New Roman"/>
                <w:lang w:eastAsia="fr-FR"/>
              </w:rPr>
              <w:t xml:space="preserve"> (CNRS) Mémo claire et synthétique. Rappelle aussi les spécificités juridiques des archives ouvertes, des logiciels, des images et photos, des cours et des thèses. </w:t>
            </w:r>
          </w:p>
          <w:p w:rsidR="00F54A88" w:rsidRPr="00021AA8" w:rsidRDefault="00B10EB6" w:rsidP="00F54A88">
            <w:pPr>
              <w:pStyle w:val="Paragraphedeliste"/>
              <w:numPr>
                <w:ilvl w:val="0"/>
                <w:numId w:val="5"/>
              </w:numPr>
            </w:pPr>
            <w:hyperlink r:id="rId14" w:history="1">
              <w:r w:rsidR="00F54A88" w:rsidRPr="00021AA8">
                <w:rPr>
                  <w:rStyle w:val="Lienhypertexte"/>
                </w:rPr>
                <w:t>Guide d’application de la loi pour une République numérique (article 30)</w:t>
              </w:r>
            </w:hyperlink>
            <w:r w:rsidR="003C7BDC">
              <w:t>.</w:t>
            </w:r>
            <w:r w:rsidR="00F54A88" w:rsidRPr="00021AA8">
              <w:t xml:space="preserve"> Ecrits scientifiques</w:t>
            </w:r>
            <w:r w:rsidR="003C7BDC">
              <w:t>.</w:t>
            </w:r>
            <w:r w:rsidR="00F54A88" w:rsidRPr="00021AA8">
              <w:t xml:space="preserve"> Version courte, BSN  </w:t>
            </w:r>
          </w:p>
          <w:p w:rsidR="00F54A88" w:rsidRPr="00021AA8" w:rsidRDefault="00B10EB6" w:rsidP="00F54A88">
            <w:pPr>
              <w:pStyle w:val="Paragraphedeliste"/>
              <w:numPr>
                <w:ilvl w:val="0"/>
                <w:numId w:val="5"/>
              </w:numPr>
            </w:pPr>
            <w:hyperlink r:id="rId15" w:history="1">
              <w:r w:rsidR="00F54A88" w:rsidRPr="00021AA8">
                <w:rPr>
                  <w:rStyle w:val="Lienhypertexte"/>
                </w:rPr>
                <w:t>Vos dépôts dans HAL : ce qui change avec la loi pour une République Numérique</w:t>
              </w:r>
            </w:hyperlink>
            <w:r w:rsidR="00F54A88" w:rsidRPr="00021AA8">
              <w:t xml:space="preserve">. </w:t>
            </w:r>
            <w:proofErr w:type="spellStart"/>
            <w:r w:rsidR="00F54A88" w:rsidRPr="00021AA8">
              <w:t>Magron</w:t>
            </w:r>
            <w:proofErr w:type="spellEnd"/>
            <w:r w:rsidR="00F54A88" w:rsidRPr="00021AA8">
              <w:t>, Agnès, CSSD, 16 octobre 2016</w:t>
            </w:r>
          </w:p>
          <w:p w:rsidR="00F54A88" w:rsidRPr="00021AA8" w:rsidRDefault="00B10EB6" w:rsidP="00F54A88">
            <w:pPr>
              <w:pStyle w:val="Titre3"/>
              <w:numPr>
                <w:ilvl w:val="0"/>
                <w:numId w:val="6"/>
              </w:numPr>
              <w:spacing w:before="0"/>
              <w:outlineLvl w:val="2"/>
              <w:rPr>
                <w:rStyle w:val="byline"/>
                <w:rFonts w:asciiTheme="minorHAnsi" w:hAnsiTheme="minorHAnsi"/>
                <w:b w:val="0"/>
                <w:color w:val="auto"/>
              </w:rPr>
            </w:pPr>
            <w:hyperlink r:id="rId16" w:history="1">
              <w:r w:rsidR="00F54A88" w:rsidRPr="00021AA8">
                <w:rPr>
                  <w:rStyle w:val="Lienhypertexte"/>
                  <w:rFonts w:asciiTheme="minorHAnsi" w:hAnsiTheme="minorHAnsi"/>
                  <w:b w:val="0"/>
                </w:rPr>
                <w:t>Open Access : quelles incidences de la loi « République numérique » ?</w:t>
              </w:r>
            </w:hyperlink>
            <w:r w:rsidR="00F54A88" w:rsidRPr="00021AA8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hyperlink r:id="rId17" w:history="1">
              <w:proofErr w:type="spellStart"/>
              <w:r w:rsidR="00F54A88" w:rsidRPr="00021AA8">
                <w:rPr>
                  <w:rStyle w:val="Lienhypertexte"/>
                  <w:rFonts w:asciiTheme="minorHAnsi" w:hAnsiTheme="minorHAnsi"/>
                  <w:b w:val="0"/>
                  <w:color w:val="auto"/>
                </w:rPr>
                <w:t>calimaq</w:t>
              </w:r>
              <w:proofErr w:type="spellEnd"/>
            </w:hyperlink>
            <w:r w:rsidR="00F54A88" w:rsidRPr="00021AA8">
              <w:rPr>
                <w:rStyle w:val="author"/>
                <w:rFonts w:asciiTheme="minorHAnsi" w:hAnsiTheme="minorHAnsi"/>
                <w:b w:val="0"/>
                <w:color w:val="auto"/>
              </w:rPr>
              <w:t xml:space="preserve">, </w:t>
            </w:r>
            <w:r w:rsidR="00F54A88" w:rsidRPr="00021AA8">
              <w:rPr>
                <w:rStyle w:val="posted-on"/>
                <w:rFonts w:asciiTheme="minorHAnsi" w:hAnsiTheme="minorHAnsi"/>
                <w:b w:val="0"/>
                <w:color w:val="auto"/>
              </w:rPr>
              <w:t xml:space="preserve">Blog </w:t>
            </w:r>
            <w:proofErr w:type="spellStart"/>
            <w:r w:rsidR="00F54A88" w:rsidRPr="00021AA8">
              <w:rPr>
                <w:rStyle w:val="posted-on"/>
                <w:rFonts w:asciiTheme="minorHAnsi" w:hAnsiTheme="minorHAnsi"/>
                <w:b w:val="0"/>
                <w:color w:val="auto"/>
              </w:rPr>
              <w:t>S.I.lex</w:t>
            </w:r>
            <w:proofErr w:type="spellEnd"/>
            <w:r w:rsidR="00F54A88" w:rsidRPr="00021AA8">
              <w:rPr>
                <w:rStyle w:val="posted-on"/>
                <w:rFonts w:asciiTheme="minorHAnsi" w:hAnsiTheme="minorHAnsi"/>
                <w:b w:val="0"/>
                <w:color w:val="auto"/>
              </w:rPr>
              <w:t xml:space="preserve">, </w:t>
            </w:r>
            <w:hyperlink r:id="rId18" w:history="1">
              <w:r w:rsidR="00F54A88" w:rsidRPr="00021AA8">
                <w:rPr>
                  <w:rStyle w:val="Lienhypertexte"/>
                  <w:rFonts w:asciiTheme="minorHAnsi" w:hAnsiTheme="minorHAnsi"/>
                  <w:b w:val="0"/>
                  <w:color w:val="auto"/>
                  <w:u w:val="none"/>
                </w:rPr>
                <w:t>31 octobre 2016</w:t>
              </w:r>
            </w:hyperlink>
            <w:r w:rsidR="00F54A88" w:rsidRPr="00021AA8">
              <w:rPr>
                <w:rStyle w:val="byline"/>
                <w:rFonts w:asciiTheme="minorHAnsi" w:hAnsiTheme="minorHAnsi"/>
                <w:b w:val="0"/>
                <w:color w:val="auto"/>
              </w:rPr>
              <w:t xml:space="preserve"> </w:t>
            </w:r>
          </w:p>
          <w:p w:rsidR="00F54A88" w:rsidRDefault="00F54A88" w:rsidP="00F54A88">
            <w:pPr>
              <w:pStyle w:val="Titre3"/>
              <w:numPr>
                <w:ilvl w:val="0"/>
                <w:numId w:val="6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1AA8">
              <w:rPr>
                <w:rStyle w:val="byline"/>
                <w:rFonts w:asciiTheme="minorHAnsi" w:hAnsiTheme="minorHAnsi"/>
                <w:b w:val="0"/>
                <w:color w:val="auto"/>
              </w:rPr>
              <w:t xml:space="preserve"> </w:t>
            </w:r>
            <w:hyperlink r:id="rId19" w:history="1">
              <w:r w:rsidRPr="00021AA8">
                <w:rPr>
                  <w:rStyle w:val="Lienhypertexte"/>
                  <w:rFonts w:asciiTheme="minorHAnsi" w:hAnsiTheme="minorHAnsi"/>
                  <w:b w:val="0"/>
                </w:rPr>
                <w:t>Open Access France</w:t>
              </w:r>
            </w:hyperlink>
            <w:r w:rsidRPr="00021AA8">
              <w:rPr>
                <w:rFonts w:asciiTheme="minorHAnsi" w:hAnsiTheme="minorHAnsi"/>
                <w:b w:val="0"/>
                <w:color w:val="auto"/>
              </w:rPr>
              <w:t>. Le site Couperin de l’accès ouvert en France. FAQ sur la loi République numérique</w:t>
            </w:r>
          </w:p>
        </w:tc>
      </w:tr>
    </w:tbl>
    <w:p w:rsidR="007A2F5C" w:rsidRPr="00355BF3" w:rsidRDefault="007A2F5C" w:rsidP="00D75A72">
      <w:pPr>
        <w:tabs>
          <w:tab w:val="left" w:pos="1227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A2F5C" w:rsidRPr="00355BF3" w:rsidSect="00F6232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F6" w:rsidRDefault="004625F6" w:rsidP="008B11E5">
      <w:pPr>
        <w:spacing w:after="0" w:line="240" w:lineRule="auto"/>
      </w:pPr>
      <w:r>
        <w:separator/>
      </w:r>
    </w:p>
  </w:endnote>
  <w:endnote w:type="continuationSeparator" w:id="0">
    <w:p w:rsidR="004625F6" w:rsidRDefault="004625F6" w:rsidP="008B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0"/>
      <w:gridCol w:w="7972"/>
    </w:tblGrid>
    <w:tr w:rsidR="00355BF3" w:rsidTr="0098022C">
      <w:tc>
        <w:tcPr>
          <w:tcW w:w="1101" w:type="dxa"/>
        </w:tcPr>
        <w:p w:rsidR="00355BF3" w:rsidRDefault="00355BF3" w:rsidP="0098022C">
          <w:pPr>
            <w:tabs>
              <w:tab w:val="left" w:pos="1227"/>
            </w:tabs>
            <w:spacing w:before="240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00EEEB8A" wp14:editId="68CECC72">
                <wp:extent cx="524786" cy="441835"/>
                <wp:effectExtent l="0" t="0" r="8890" b="0"/>
                <wp:docPr id="3" name="Image 3" descr="\\Collaboratif.vetagro-sup.fr\bib-centrale\Gestion de la bibliothèque\Dossier-identité-visuelle-bibliothèque2\Logo neutre\logo-neutre-impress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ollaboratif.vetagro-sup.fr\bib-centrale\Gestion de la bibliothèque\Dossier-identité-visuelle-bibliothèque2\Logo neutre\logo-neutre-impress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864" cy="444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:rsidR="00355BF3" w:rsidRPr="00772D20" w:rsidRDefault="00355BF3" w:rsidP="0098022C">
          <w:pPr>
            <w:pStyle w:val="Pieddepage"/>
            <w:spacing w:before="240"/>
            <w:rPr>
              <w:rFonts w:ascii="Times New Roman" w:eastAsia="Times New Roman" w:hAnsi="Times New Roman" w:cs="Times New Roman"/>
              <w:sz w:val="18"/>
              <w:szCs w:val="18"/>
              <w:lang w:eastAsia="fr-FR"/>
            </w:rPr>
          </w:pPr>
          <w:r w:rsidRPr="00772D20">
            <w:rPr>
              <w:sz w:val="18"/>
              <w:szCs w:val="18"/>
            </w:rPr>
            <w:t>VetAgro Sup. Bibliothèques  agronomique et vétérinaire, janvier 2019</w:t>
          </w:r>
        </w:p>
      </w:tc>
    </w:tr>
  </w:tbl>
  <w:p w:rsidR="008B11E5" w:rsidRDefault="008B11E5">
    <w:pPr>
      <w:pStyle w:val="Pieddepage"/>
    </w:pPr>
  </w:p>
  <w:p w:rsidR="008B11E5" w:rsidRDefault="008B11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F6" w:rsidRDefault="004625F6" w:rsidP="008B11E5">
      <w:pPr>
        <w:spacing w:after="0" w:line="240" w:lineRule="auto"/>
      </w:pPr>
      <w:r>
        <w:separator/>
      </w:r>
    </w:p>
  </w:footnote>
  <w:footnote w:type="continuationSeparator" w:id="0">
    <w:p w:rsidR="004625F6" w:rsidRDefault="004625F6" w:rsidP="008B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8B22"/>
      </v:shape>
    </w:pict>
  </w:numPicBullet>
  <w:abstractNum w:abstractNumId="0" w15:restartNumberingAfterBreak="0">
    <w:nsid w:val="08D16823"/>
    <w:multiLevelType w:val="multilevel"/>
    <w:tmpl w:val="8DBE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B6BF2"/>
    <w:multiLevelType w:val="multilevel"/>
    <w:tmpl w:val="DA4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F1358"/>
    <w:multiLevelType w:val="hybridMultilevel"/>
    <w:tmpl w:val="99B0A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21F5"/>
    <w:multiLevelType w:val="hybridMultilevel"/>
    <w:tmpl w:val="C66480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5BEB"/>
    <w:multiLevelType w:val="hybridMultilevel"/>
    <w:tmpl w:val="2D321D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7B2C"/>
    <w:multiLevelType w:val="hybridMultilevel"/>
    <w:tmpl w:val="52609B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D443D7"/>
    <w:multiLevelType w:val="hybridMultilevel"/>
    <w:tmpl w:val="8F40FAA8"/>
    <w:lvl w:ilvl="0" w:tplc="5C187F5C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22CD3"/>
    <w:multiLevelType w:val="hybridMultilevel"/>
    <w:tmpl w:val="B3149E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008D"/>
    <w:multiLevelType w:val="hybridMultilevel"/>
    <w:tmpl w:val="B5FA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2F"/>
    <w:rsid w:val="00021AA8"/>
    <w:rsid w:val="00086921"/>
    <w:rsid w:val="00094612"/>
    <w:rsid w:val="000D033C"/>
    <w:rsid w:val="00166436"/>
    <w:rsid w:val="001C293D"/>
    <w:rsid w:val="002604A4"/>
    <w:rsid w:val="002825D2"/>
    <w:rsid w:val="00287DDE"/>
    <w:rsid w:val="002A2AE1"/>
    <w:rsid w:val="002C7406"/>
    <w:rsid w:val="002F09C1"/>
    <w:rsid w:val="00300884"/>
    <w:rsid w:val="003268F9"/>
    <w:rsid w:val="00342DF4"/>
    <w:rsid w:val="00355BF3"/>
    <w:rsid w:val="003B2594"/>
    <w:rsid w:val="003B71F5"/>
    <w:rsid w:val="003C7BDC"/>
    <w:rsid w:val="004625F6"/>
    <w:rsid w:val="00480EBF"/>
    <w:rsid w:val="004F245F"/>
    <w:rsid w:val="00556EEA"/>
    <w:rsid w:val="005C5827"/>
    <w:rsid w:val="005F061F"/>
    <w:rsid w:val="00662BB8"/>
    <w:rsid w:val="00680BD0"/>
    <w:rsid w:val="006950CE"/>
    <w:rsid w:val="006A1676"/>
    <w:rsid w:val="006D0327"/>
    <w:rsid w:val="0074103E"/>
    <w:rsid w:val="00772D20"/>
    <w:rsid w:val="007A2F5C"/>
    <w:rsid w:val="007C2332"/>
    <w:rsid w:val="0080467D"/>
    <w:rsid w:val="00863DC9"/>
    <w:rsid w:val="008A1BA2"/>
    <w:rsid w:val="008B11E5"/>
    <w:rsid w:val="008F3FBB"/>
    <w:rsid w:val="00A7752F"/>
    <w:rsid w:val="00AB72AD"/>
    <w:rsid w:val="00B10EB6"/>
    <w:rsid w:val="00BA3FB4"/>
    <w:rsid w:val="00BE5FFA"/>
    <w:rsid w:val="00C17165"/>
    <w:rsid w:val="00C52FDA"/>
    <w:rsid w:val="00C9747C"/>
    <w:rsid w:val="00CA7CD3"/>
    <w:rsid w:val="00D4487A"/>
    <w:rsid w:val="00D725FE"/>
    <w:rsid w:val="00D75A72"/>
    <w:rsid w:val="00DA2443"/>
    <w:rsid w:val="00DF170C"/>
    <w:rsid w:val="00E1038C"/>
    <w:rsid w:val="00E636F2"/>
    <w:rsid w:val="00E75BD9"/>
    <w:rsid w:val="00EA7324"/>
    <w:rsid w:val="00EE62BA"/>
    <w:rsid w:val="00F21186"/>
    <w:rsid w:val="00F22CA0"/>
    <w:rsid w:val="00F41C2F"/>
    <w:rsid w:val="00F45A9C"/>
    <w:rsid w:val="00F54A88"/>
    <w:rsid w:val="00F62324"/>
    <w:rsid w:val="00F84DD1"/>
    <w:rsid w:val="00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1945C-DECB-409F-B2A8-CD9536FF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2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3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F41C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41C2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4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41C2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C2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F22CA0"/>
    <w:rPr>
      <w:b/>
      <w:bCs/>
    </w:rPr>
  </w:style>
  <w:style w:type="paragraph" w:styleId="Paragraphedeliste">
    <w:name w:val="List Paragraph"/>
    <w:basedOn w:val="Normal"/>
    <w:uiPriority w:val="34"/>
    <w:qFormat/>
    <w:rsid w:val="00E1038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10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ed-on">
    <w:name w:val="posted-on"/>
    <w:basedOn w:val="Policepardfaut"/>
    <w:rsid w:val="00BE5FFA"/>
  </w:style>
  <w:style w:type="character" w:customStyle="1" w:styleId="byline">
    <w:name w:val="byline"/>
    <w:basedOn w:val="Policepardfaut"/>
    <w:rsid w:val="00BE5FFA"/>
  </w:style>
  <w:style w:type="character" w:customStyle="1" w:styleId="author">
    <w:name w:val="author"/>
    <w:basedOn w:val="Policepardfaut"/>
    <w:rsid w:val="00BE5FFA"/>
  </w:style>
  <w:style w:type="character" w:styleId="Lienhypertextesuivivisit">
    <w:name w:val="FollowedHyperlink"/>
    <w:basedOn w:val="Policepardfaut"/>
    <w:uiPriority w:val="99"/>
    <w:semiHidden/>
    <w:unhideWhenUsed/>
    <w:rsid w:val="006A1676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E6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aliases w:val="Titre2"/>
    <w:basedOn w:val="Normal"/>
    <w:next w:val="Normal"/>
    <w:link w:val="TitreCar"/>
    <w:qFormat/>
    <w:rsid w:val="00166436"/>
    <w:pPr>
      <w:pBdr>
        <w:bottom w:val="single" w:sz="18" w:space="1" w:color="92CDDC"/>
      </w:pBd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smallCaps/>
      <w:kern w:val="28"/>
      <w:szCs w:val="32"/>
      <w:lang w:eastAsia="ja-JP"/>
    </w:rPr>
  </w:style>
  <w:style w:type="character" w:customStyle="1" w:styleId="TitreCar">
    <w:name w:val="Titre Car"/>
    <w:aliases w:val="Titre2 Car"/>
    <w:basedOn w:val="Policepardfaut"/>
    <w:link w:val="Titre"/>
    <w:rsid w:val="00166436"/>
    <w:rPr>
      <w:rFonts w:ascii="Calibri" w:eastAsia="Times New Roman" w:hAnsi="Calibri" w:cs="Times New Roman"/>
      <w:b/>
      <w:bCs/>
      <w:smallCaps/>
      <w:kern w:val="28"/>
      <w:szCs w:val="32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B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1E5"/>
  </w:style>
  <w:style w:type="paragraph" w:styleId="Pieddepage">
    <w:name w:val="footer"/>
    <w:basedOn w:val="Normal"/>
    <w:link w:val="PieddepageCar"/>
    <w:uiPriority w:val="99"/>
    <w:unhideWhenUsed/>
    <w:rsid w:val="008B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1E5"/>
  </w:style>
  <w:style w:type="paragraph" w:styleId="Textedebulles">
    <w:name w:val="Balloon Text"/>
    <w:basedOn w:val="Normal"/>
    <w:link w:val="TextedebullesCar"/>
    <w:uiPriority w:val="99"/>
    <w:semiHidden/>
    <w:unhideWhenUsed/>
    <w:rsid w:val="008B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1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loi/2016/10/7/ECFI1524250L/jo/article_30" TargetMode="External"/><Relationship Id="rId13" Type="http://schemas.openxmlformats.org/officeDocument/2006/relationships/hyperlink" Target="http://corist-shs.cnrs.fr/sites/default/files/ressources/droit_auteur_lecture_vf.pdf" TargetMode="External"/><Relationship Id="rId18" Type="http://schemas.openxmlformats.org/officeDocument/2006/relationships/hyperlink" Target="https://scinfolex.com/2016/10/31/open-access-quelles-incidences-de-la-loi-republique-numeriqu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eloise.ccsd.cnrs.fr/search/searchreview/" TargetMode="External"/><Relationship Id="rId17" Type="http://schemas.openxmlformats.org/officeDocument/2006/relationships/hyperlink" Target="https://scinfolex.com/author/calimaq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nfolex.com/2016/10/31/open-access-quelles-incidences-de-la-loi-republique-numeriqu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pa.ac.uk/rome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csd.cnrs.fr/2016/10/vos-depots-dans-hal-ce-qui-change-avec-la-loi-pour-une-republique-numerique/" TargetMode="External"/><Relationship Id="rId10" Type="http://schemas.openxmlformats.org/officeDocument/2006/relationships/hyperlink" Target="https://decadoc.typeform.com/to/W2ZZMV" TargetMode="External"/><Relationship Id="rId19" Type="http://schemas.openxmlformats.org/officeDocument/2006/relationships/hyperlink" Target="https://openaccess.couperin.org/la-loi-numeriq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l.archives-ouvertes.fr/" TargetMode="External"/><Relationship Id="rId14" Type="http://schemas.openxmlformats.org/officeDocument/2006/relationships/hyperlink" Target="http://www.bibliothequescientifiquenumerique.fr/180221_html_guide-applicationarticle-30-ecrits-scientifiques-version-court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7228-D860-4018-A0C5-82C80586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VIAU</dc:creator>
  <cp:lastModifiedBy>Marie VIAU</cp:lastModifiedBy>
  <cp:revision>2</cp:revision>
  <cp:lastPrinted>2019-01-25T11:01:00Z</cp:lastPrinted>
  <dcterms:created xsi:type="dcterms:W3CDTF">2022-06-13T10:05:00Z</dcterms:created>
  <dcterms:modified xsi:type="dcterms:W3CDTF">2022-06-13T10:05:00Z</dcterms:modified>
</cp:coreProperties>
</file>